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23" w:rsidRPr="00F65723" w:rsidRDefault="00F65723" w:rsidP="00F65723">
      <w:pPr>
        <w:jc w:val="center"/>
        <w:rPr>
          <w:rFonts w:cstheme="minorHAnsi"/>
          <w:b/>
          <w:color w:val="404040" w:themeColor="text1" w:themeTint="BF"/>
          <w:sz w:val="28"/>
          <w:szCs w:val="24"/>
        </w:rPr>
      </w:pPr>
      <w:bookmarkStart w:id="0" w:name="_GoBack"/>
      <w:bookmarkEnd w:id="0"/>
      <w:r w:rsidRPr="00F65723">
        <w:rPr>
          <w:rFonts w:cstheme="minorHAnsi"/>
          <w:b/>
          <w:color w:val="404040" w:themeColor="text1" w:themeTint="BF"/>
          <w:sz w:val="28"/>
          <w:szCs w:val="24"/>
        </w:rPr>
        <w:t>Titre du projet : « C’est ma vie : je la choisis</w:t>
      </w:r>
      <w:r w:rsidRPr="00F65723">
        <w:rPr>
          <w:rFonts w:cstheme="minorHAnsi"/>
          <w:b/>
          <w:i/>
          <w:color w:val="404040" w:themeColor="text1" w:themeTint="BF"/>
          <w:sz w:val="28"/>
          <w:szCs w:val="24"/>
        </w:rPr>
        <w:t> »</w:t>
      </w:r>
    </w:p>
    <w:p w:rsidR="00F65723" w:rsidRPr="00F65723" w:rsidRDefault="00F65723" w:rsidP="00F65723">
      <w:pPr>
        <w:rPr>
          <w:rFonts w:cstheme="minorHAnsi"/>
          <w:b/>
          <w:color w:val="404040" w:themeColor="text1" w:themeTint="BF"/>
          <w:sz w:val="28"/>
          <w:szCs w:val="24"/>
        </w:rPr>
      </w:pPr>
    </w:p>
    <w:p w:rsidR="00F65723" w:rsidRPr="00F65723" w:rsidRDefault="00F65723" w:rsidP="00F65723">
      <w:pPr>
        <w:rPr>
          <w:rFonts w:cstheme="minorHAnsi"/>
          <w:b/>
          <w:color w:val="404040" w:themeColor="text1" w:themeTint="BF"/>
          <w:sz w:val="28"/>
          <w:szCs w:val="24"/>
        </w:rPr>
      </w:pPr>
    </w:p>
    <w:p w:rsidR="00F65723" w:rsidRPr="00F65723" w:rsidRDefault="00F65723" w:rsidP="00F65723">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rPr>
      </w:pPr>
      <w:r w:rsidRPr="00F65723">
        <w:rPr>
          <w:rFonts w:cstheme="minorHAnsi"/>
          <w:b/>
          <w:color w:val="4B9941"/>
          <w:sz w:val="24"/>
          <w:szCs w:val="24"/>
        </w:rPr>
        <w:t>RESUME DU PROJET</w:t>
      </w:r>
    </w:p>
    <w:p w:rsidR="00F65723" w:rsidRPr="00F65723" w:rsidRDefault="00F65723" w:rsidP="00F65723">
      <w:pPr>
        <w:spacing w:after="0" w:line="240" w:lineRule="auto"/>
        <w:rPr>
          <w:rFonts w:cstheme="minorHAnsi"/>
          <w:b/>
          <w:color w:val="4B9941"/>
          <w:sz w:val="24"/>
          <w:szCs w:val="24"/>
        </w:rPr>
      </w:pPr>
    </w:p>
    <w:p w:rsidR="00F65723" w:rsidRPr="00F65723" w:rsidRDefault="00F65723" w:rsidP="00F65723">
      <w:pPr>
        <w:spacing w:after="0"/>
        <w:rPr>
          <w:rFonts w:cstheme="minorHAnsi"/>
          <w:szCs w:val="24"/>
        </w:rPr>
      </w:pPr>
      <w:r w:rsidRPr="00F65723">
        <w:rPr>
          <w:rFonts w:cstheme="minorHAnsi"/>
          <w:szCs w:val="24"/>
        </w:rPr>
        <w:t>Les personnes porteuses de trisomie 21 et déficientes intellectuelles éprouvent de grandes difficultés pour formuler leurs propres choix et se projeter.</w:t>
      </w:r>
    </w:p>
    <w:p w:rsidR="00F65723" w:rsidRPr="00F65723" w:rsidRDefault="00F65723" w:rsidP="00F65723">
      <w:pPr>
        <w:spacing w:after="0"/>
        <w:rPr>
          <w:rFonts w:cstheme="minorHAnsi"/>
          <w:szCs w:val="24"/>
        </w:rPr>
      </w:pPr>
    </w:p>
    <w:p w:rsidR="00F65723" w:rsidRPr="00F65723" w:rsidRDefault="00F65723" w:rsidP="00F65723">
      <w:pPr>
        <w:spacing w:after="0"/>
        <w:rPr>
          <w:rFonts w:cstheme="minorHAnsi"/>
          <w:szCs w:val="24"/>
        </w:rPr>
      </w:pPr>
      <w:r w:rsidRPr="00F65723">
        <w:rPr>
          <w:rFonts w:cstheme="minorHAnsi"/>
          <w:szCs w:val="24"/>
        </w:rPr>
        <w:t xml:space="preserve">Pour que l’égalité et la participation affirmées dans la législation deviennent effectives, il est nécessaire de rendre le choix accessible aux personnes porteuses de trisomie et déficientes intellectuelles. </w:t>
      </w:r>
    </w:p>
    <w:p w:rsidR="00F65723" w:rsidRPr="00F65723" w:rsidRDefault="00F65723" w:rsidP="00F65723">
      <w:pPr>
        <w:spacing w:after="0"/>
        <w:rPr>
          <w:rFonts w:cstheme="minorHAnsi"/>
          <w:szCs w:val="24"/>
        </w:rPr>
      </w:pPr>
    </w:p>
    <w:p w:rsidR="00F65723" w:rsidRPr="00F65723" w:rsidRDefault="00F65723" w:rsidP="00F65723">
      <w:pPr>
        <w:spacing w:after="0"/>
        <w:rPr>
          <w:rFonts w:cstheme="minorHAnsi"/>
          <w:szCs w:val="24"/>
        </w:rPr>
      </w:pPr>
      <w:r w:rsidRPr="00F65723">
        <w:rPr>
          <w:rFonts w:cstheme="minorHAnsi"/>
          <w:szCs w:val="24"/>
        </w:rPr>
        <w:t>Dans ce cadre, l’objectif de ce travail est de concevoir et de valider un outil numérique d’aide à la formulation d’un projet de vie, adapté aux particularités de fonctionnement cognitif des personnes porteuses de trisomie 21.</w:t>
      </w:r>
    </w:p>
    <w:p w:rsidR="00F65723" w:rsidRPr="00F65723" w:rsidRDefault="00F65723" w:rsidP="00F65723">
      <w:pPr>
        <w:spacing w:after="0"/>
        <w:rPr>
          <w:rFonts w:cstheme="minorHAnsi"/>
          <w:szCs w:val="24"/>
        </w:rPr>
      </w:pPr>
      <w:r w:rsidRPr="00F65723">
        <w:rPr>
          <w:rFonts w:cstheme="minorHAnsi"/>
          <w:szCs w:val="24"/>
        </w:rPr>
        <w:t xml:space="preserve">Les quatre étapes nécessaires à la réalisation de ce projet sont : </w:t>
      </w:r>
    </w:p>
    <w:p w:rsidR="00F65723" w:rsidRPr="00F65723" w:rsidRDefault="00F65723" w:rsidP="00F65723">
      <w:pPr>
        <w:numPr>
          <w:ilvl w:val="0"/>
          <w:numId w:val="1"/>
        </w:numPr>
        <w:spacing w:after="0" w:line="240" w:lineRule="auto"/>
        <w:contextualSpacing/>
        <w:rPr>
          <w:rFonts w:eastAsia="Calibri" w:cstheme="minorHAnsi"/>
          <w:szCs w:val="24"/>
          <w:lang w:eastAsia="fr-FR"/>
        </w:rPr>
      </w:pPr>
      <w:r w:rsidRPr="00F65723">
        <w:rPr>
          <w:rFonts w:eastAsia="Calibri" w:cstheme="minorHAnsi"/>
          <w:szCs w:val="24"/>
          <w:lang w:eastAsia="fr-FR"/>
        </w:rPr>
        <w:t xml:space="preserve">l’évaluation précise des difficultés cognitives de ces personnes ainsi que des répercussions de ces difficultés dans les sphères familiales, sociales et professionnelles et l’analyse des processus cognitifs qui conduisent à la décision. </w:t>
      </w:r>
    </w:p>
    <w:p w:rsidR="00F65723" w:rsidRPr="00F65723" w:rsidRDefault="00F65723" w:rsidP="00F65723">
      <w:pPr>
        <w:numPr>
          <w:ilvl w:val="0"/>
          <w:numId w:val="1"/>
        </w:numPr>
        <w:spacing w:after="0" w:line="240" w:lineRule="auto"/>
        <w:contextualSpacing/>
        <w:rPr>
          <w:rFonts w:eastAsia="Calibri" w:cstheme="minorHAnsi"/>
          <w:szCs w:val="24"/>
          <w:lang w:eastAsia="fr-FR"/>
        </w:rPr>
      </w:pPr>
      <w:r w:rsidRPr="00F65723">
        <w:rPr>
          <w:rFonts w:eastAsia="Calibri" w:cstheme="minorHAnsi"/>
          <w:szCs w:val="24"/>
          <w:lang w:eastAsia="fr-FR"/>
        </w:rPr>
        <w:t xml:space="preserve">l’adaptation d’un outil d’aide à l’élaboration d’un projet de vie adapté aux spécificités de fonctionnement de ces personnes ; </w:t>
      </w:r>
    </w:p>
    <w:p w:rsidR="00F65723" w:rsidRPr="00F65723" w:rsidRDefault="00F65723" w:rsidP="00F65723">
      <w:pPr>
        <w:numPr>
          <w:ilvl w:val="0"/>
          <w:numId w:val="1"/>
        </w:numPr>
        <w:spacing w:after="0" w:line="240" w:lineRule="auto"/>
        <w:contextualSpacing/>
        <w:rPr>
          <w:rFonts w:eastAsia="Calibri" w:cstheme="minorHAnsi"/>
          <w:szCs w:val="24"/>
          <w:lang w:eastAsia="fr-FR"/>
        </w:rPr>
      </w:pPr>
      <w:r w:rsidRPr="00F65723">
        <w:rPr>
          <w:rFonts w:eastAsia="Calibri" w:cstheme="minorHAnsi"/>
          <w:szCs w:val="24"/>
          <w:lang w:eastAsia="fr-FR"/>
        </w:rPr>
        <w:t xml:space="preserve">la transcription de cet outil en format numérique adapté et accessible ; </w:t>
      </w:r>
    </w:p>
    <w:p w:rsidR="00F65723" w:rsidRPr="00F65723" w:rsidRDefault="00F65723" w:rsidP="00F65723">
      <w:pPr>
        <w:numPr>
          <w:ilvl w:val="0"/>
          <w:numId w:val="1"/>
        </w:numPr>
        <w:spacing w:after="0" w:line="240" w:lineRule="auto"/>
        <w:contextualSpacing/>
        <w:rPr>
          <w:rFonts w:eastAsia="Calibri" w:cstheme="minorHAnsi"/>
          <w:szCs w:val="24"/>
          <w:lang w:eastAsia="fr-FR"/>
        </w:rPr>
      </w:pPr>
      <w:r w:rsidRPr="00F65723">
        <w:rPr>
          <w:rFonts w:eastAsia="Calibri" w:cstheme="minorHAnsi"/>
          <w:szCs w:val="24"/>
          <w:lang w:eastAsia="fr-FR"/>
        </w:rPr>
        <w:t>l’évaluation de la pertinence de cet outil et de ses répercussions sur la qualité de vie et en particulier l’accès à l’autonomie.</w:t>
      </w:r>
    </w:p>
    <w:p w:rsidR="00F65723" w:rsidRPr="00F65723" w:rsidRDefault="00F65723" w:rsidP="00F65723">
      <w:pPr>
        <w:spacing w:after="0" w:line="240" w:lineRule="auto"/>
        <w:rPr>
          <w:rFonts w:cstheme="minorHAnsi"/>
          <w:b/>
          <w:color w:val="4B9941"/>
          <w:szCs w:val="24"/>
        </w:rPr>
      </w:pPr>
    </w:p>
    <w:p w:rsidR="00F65723" w:rsidRPr="00F65723" w:rsidRDefault="00F65723" w:rsidP="00F65723">
      <w:pPr>
        <w:spacing w:after="0" w:line="240" w:lineRule="auto"/>
        <w:rPr>
          <w:rFonts w:cstheme="minorHAnsi"/>
          <w:b/>
          <w:color w:val="4B9941"/>
          <w:szCs w:val="24"/>
        </w:rPr>
      </w:pPr>
    </w:p>
    <w:p w:rsidR="00F65723" w:rsidRPr="00F65723" w:rsidRDefault="00F65723" w:rsidP="00F65723">
      <w:pPr>
        <w:spacing w:after="0" w:line="240" w:lineRule="auto"/>
        <w:rPr>
          <w:rFonts w:cstheme="minorHAnsi"/>
          <w:b/>
          <w:color w:val="4B9941"/>
          <w:szCs w:val="24"/>
        </w:rPr>
      </w:pPr>
      <w:r w:rsidRPr="00F65723">
        <w:rPr>
          <w:rFonts w:cstheme="minorHAnsi"/>
          <w:b/>
          <w:color w:val="4B9941"/>
          <w:szCs w:val="24"/>
        </w:rPr>
        <w:t>Mots-clefs du projet :</w:t>
      </w:r>
    </w:p>
    <w:p w:rsidR="00F65723" w:rsidRPr="00F65723" w:rsidRDefault="00F65723" w:rsidP="00F65723">
      <w:pPr>
        <w:spacing w:after="0" w:line="240" w:lineRule="auto"/>
        <w:rPr>
          <w:rFonts w:cstheme="minorHAnsi"/>
          <w:b/>
          <w:color w:val="4B9941"/>
          <w:szCs w:val="24"/>
        </w:rPr>
      </w:pPr>
      <w:r w:rsidRPr="00F65723">
        <w:rPr>
          <w:rFonts w:cstheme="minorHAnsi"/>
          <w:szCs w:val="24"/>
        </w:rPr>
        <w:t>Choix / Autodétermination / Projet de vie / Accessibilité</w:t>
      </w:r>
    </w:p>
    <w:p w:rsidR="00F65723" w:rsidRPr="00F65723" w:rsidRDefault="00F65723" w:rsidP="00F65723">
      <w:pPr>
        <w:spacing w:after="0" w:line="240" w:lineRule="auto"/>
        <w:rPr>
          <w:rFonts w:cstheme="minorHAnsi"/>
          <w:szCs w:val="24"/>
        </w:rPr>
      </w:pPr>
    </w:p>
    <w:p w:rsidR="00F65723" w:rsidRPr="00F65723" w:rsidRDefault="00F65723" w:rsidP="00F65723">
      <w:pPr>
        <w:spacing w:after="0" w:line="240" w:lineRule="auto"/>
        <w:rPr>
          <w:rFonts w:cstheme="minorHAnsi"/>
          <w:b/>
          <w:color w:val="4B9941"/>
          <w:szCs w:val="24"/>
        </w:rPr>
      </w:pPr>
    </w:p>
    <w:p w:rsidR="00F65723" w:rsidRDefault="00F65723" w:rsidP="00F65723">
      <w:pPr>
        <w:spacing w:after="0" w:line="240" w:lineRule="auto"/>
        <w:rPr>
          <w:rFonts w:cstheme="minorHAnsi"/>
          <w:b/>
          <w:color w:val="4B9941"/>
          <w:szCs w:val="24"/>
        </w:rPr>
      </w:pPr>
      <w:r w:rsidRPr="00F65723">
        <w:rPr>
          <w:rFonts w:cstheme="minorHAnsi"/>
          <w:b/>
          <w:color w:val="4B9941"/>
          <w:szCs w:val="24"/>
        </w:rPr>
        <w:t xml:space="preserve">Durée : </w:t>
      </w:r>
      <w:r w:rsidRPr="00F65723">
        <w:rPr>
          <w:rFonts w:cstheme="minorHAnsi"/>
          <w:szCs w:val="24"/>
        </w:rPr>
        <w:t>2 ans</w:t>
      </w:r>
    </w:p>
    <w:p w:rsidR="00F65723" w:rsidRDefault="00F65723">
      <w:pPr>
        <w:rPr>
          <w:rFonts w:cstheme="minorHAnsi"/>
          <w:b/>
          <w:color w:val="4B9941"/>
          <w:szCs w:val="24"/>
        </w:rPr>
      </w:pPr>
      <w:r>
        <w:rPr>
          <w:rFonts w:cstheme="minorHAnsi"/>
          <w:b/>
          <w:color w:val="4B9941"/>
          <w:szCs w:val="24"/>
        </w:rPr>
        <w:br w:type="page"/>
      </w:r>
    </w:p>
    <w:p w:rsidR="00F65723" w:rsidRPr="00F65723" w:rsidRDefault="00F65723" w:rsidP="00F65723">
      <w:pPr>
        <w:pBdr>
          <w:top w:val="single" w:sz="4" w:space="1" w:color="156117"/>
          <w:left w:val="single" w:sz="4" w:space="4" w:color="156117"/>
          <w:bottom w:val="single" w:sz="4" w:space="1" w:color="156117"/>
          <w:right w:val="single" w:sz="4" w:space="4" w:color="156117"/>
        </w:pBdr>
        <w:shd w:val="clear" w:color="auto" w:fill="D6E3BC" w:themeFill="accent3" w:themeFillTint="66"/>
        <w:ind w:firstLine="708"/>
        <w:rPr>
          <w:rFonts w:cstheme="minorHAnsi"/>
          <w:b/>
          <w:color w:val="4B9941"/>
          <w:sz w:val="24"/>
          <w:szCs w:val="24"/>
        </w:rPr>
      </w:pPr>
      <w:r w:rsidRPr="00F65723">
        <w:rPr>
          <w:rFonts w:cstheme="minorHAnsi"/>
          <w:b/>
          <w:color w:val="4B9941"/>
          <w:sz w:val="24"/>
          <w:szCs w:val="24"/>
        </w:rPr>
        <w:lastRenderedPageBreak/>
        <w:t>LES ACTEURS IMPLIQUES DANS LA RECHERCHE</w:t>
      </w:r>
    </w:p>
    <w:p w:rsidR="00F65723" w:rsidRPr="00F65723" w:rsidRDefault="00F65723" w:rsidP="00F65723">
      <w:pPr>
        <w:spacing w:after="0"/>
        <w:rPr>
          <w:rFonts w:cstheme="minorHAnsi"/>
        </w:rPr>
      </w:pPr>
      <w:r w:rsidRPr="00F65723">
        <w:rPr>
          <w:rFonts w:cstheme="minorHAnsi"/>
        </w:rPr>
        <w:t xml:space="preserve">Ce projet s’appuie sur un  partenariat entre un acteur associatif de terrain et des organismes de recherche : </w:t>
      </w:r>
    </w:p>
    <w:p w:rsidR="00F65723" w:rsidRPr="00F65723" w:rsidRDefault="00F65723" w:rsidP="00F65723">
      <w:pPr>
        <w:spacing w:after="0"/>
        <w:rPr>
          <w:rFonts w:cstheme="minorHAnsi"/>
          <w:b/>
        </w:rPr>
      </w:pPr>
    </w:p>
    <w:p w:rsidR="00F65723" w:rsidRPr="00F65723" w:rsidRDefault="00F65723" w:rsidP="00F65723">
      <w:pPr>
        <w:numPr>
          <w:ilvl w:val="0"/>
          <w:numId w:val="3"/>
        </w:numPr>
        <w:spacing w:after="0" w:line="240" w:lineRule="auto"/>
        <w:contextualSpacing/>
        <w:rPr>
          <w:rFonts w:eastAsia="Calibri" w:cstheme="minorHAnsi"/>
          <w:color w:val="4B9941"/>
          <w:lang w:eastAsia="fr-FR"/>
        </w:rPr>
      </w:pPr>
      <w:r w:rsidRPr="00F65723">
        <w:rPr>
          <w:rFonts w:eastAsia="Calibri" w:cstheme="minorHAnsi"/>
          <w:b/>
          <w:color w:val="4B9941"/>
          <w:lang w:eastAsia="fr-FR"/>
        </w:rPr>
        <w:t>Un acteur associatif : Trisomie 21 France</w:t>
      </w:r>
    </w:p>
    <w:p w:rsidR="00F65723" w:rsidRPr="00F65723" w:rsidRDefault="00F65723" w:rsidP="00F65723">
      <w:pPr>
        <w:spacing w:after="0"/>
        <w:rPr>
          <w:rFonts w:cstheme="minorHAnsi"/>
        </w:rPr>
      </w:pPr>
      <w:r w:rsidRPr="00F65723">
        <w:rPr>
          <w:rFonts w:cstheme="minorHAnsi"/>
          <w:b/>
          <w:bCs/>
        </w:rPr>
        <w:t>Trisomie 21 France</w:t>
      </w:r>
      <w:r w:rsidRPr="00F65723">
        <w:rPr>
          <w:rFonts w:cstheme="minorHAnsi"/>
        </w:rPr>
        <w:t xml:space="preserve"> fédère les associations </w:t>
      </w:r>
      <w:r w:rsidRPr="00F65723">
        <w:rPr>
          <w:rFonts w:cstheme="minorHAnsi"/>
          <w:b/>
          <w:bCs/>
        </w:rPr>
        <w:t>trisomie 21 départementales</w:t>
      </w:r>
      <w:r w:rsidRPr="00F65723">
        <w:rPr>
          <w:rFonts w:cstheme="minorHAnsi"/>
        </w:rPr>
        <w:t xml:space="preserve"> Dans le cadre du projet, Trisomie 21 France pilote l’action et met à disposition des terrains d’expérimentation.</w:t>
      </w:r>
    </w:p>
    <w:p w:rsidR="00F65723" w:rsidRPr="00F65723" w:rsidRDefault="00F65723" w:rsidP="00F65723">
      <w:pPr>
        <w:spacing w:after="0"/>
        <w:rPr>
          <w:rFonts w:cstheme="minorHAnsi"/>
          <w:b/>
        </w:rPr>
      </w:pPr>
      <w:r w:rsidRPr="00F65723">
        <w:rPr>
          <w:rFonts w:cstheme="minorHAnsi"/>
          <w:b/>
        </w:rPr>
        <w:t>Personne référente : JP CHAMPEAUX</w:t>
      </w:r>
    </w:p>
    <w:p w:rsidR="00F65723" w:rsidRPr="00F65723" w:rsidRDefault="00F65723" w:rsidP="00F65723">
      <w:pPr>
        <w:spacing w:after="0"/>
        <w:rPr>
          <w:rFonts w:cstheme="minorHAnsi"/>
          <w:b/>
        </w:rPr>
      </w:pPr>
    </w:p>
    <w:p w:rsidR="00F65723" w:rsidRPr="00F65723" w:rsidRDefault="00F65723" w:rsidP="00F65723">
      <w:pPr>
        <w:numPr>
          <w:ilvl w:val="0"/>
          <w:numId w:val="3"/>
        </w:numPr>
        <w:spacing w:after="0" w:line="240" w:lineRule="auto"/>
        <w:contextualSpacing/>
        <w:rPr>
          <w:rFonts w:eastAsia="Calibri" w:cstheme="minorHAnsi"/>
          <w:color w:val="4B9941"/>
          <w:lang w:eastAsia="fr-FR"/>
        </w:rPr>
      </w:pPr>
      <w:r w:rsidRPr="00F65723">
        <w:rPr>
          <w:rFonts w:eastAsia="Calibri" w:cstheme="minorHAnsi"/>
          <w:b/>
          <w:color w:val="4B9941"/>
          <w:lang w:eastAsia="fr-FR"/>
        </w:rPr>
        <w:t xml:space="preserve">L’Université Victor Segalen </w:t>
      </w:r>
    </w:p>
    <w:p w:rsidR="00F65723" w:rsidRPr="00F65723" w:rsidRDefault="00F65723" w:rsidP="00F65723">
      <w:pPr>
        <w:spacing w:after="0"/>
        <w:rPr>
          <w:rFonts w:cstheme="minorHAnsi"/>
          <w:b/>
        </w:rPr>
      </w:pPr>
      <w:r w:rsidRPr="00F65723">
        <w:rPr>
          <w:rFonts w:cstheme="minorHAnsi"/>
        </w:rPr>
        <w:t xml:space="preserve">L’équipe « Handicap et Système nerveux » de l’Université Victor Segalen Bordeaux 2 est spécialisée dans l’évaluation et le réentrainement de personnes présentant des difficultés cognitives </w:t>
      </w:r>
    </w:p>
    <w:p w:rsidR="00F65723" w:rsidRPr="00F65723" w:rsidRDefault="00F65723" w:rsidP="00F65723">
      <w:pPr>
        <w:spacing w:after="0" w:line="240" w:lineRule="auto"/>
        <w:ind w:firstLine="708"/>
        <w:rPr>
          <w:rFonts w:cstheme="minorHAnsi"/>
          <w:b/>
        </w:rPr>
      </w:pPr>
      <w:r w:rsidRPr="00F65723">
        <w:rPr>
          <w:rFonts w:cstheme="minorHAnsi"/>
          <w:b/>
        </w:rPr>
        <w:t>Les chercheurs concernés :</w:t>
      </w:r>
    </w:p>
    <w:p w:rsidR="00F65723" w:rsidRPr="00F65723" w:rsidRDefault="00F65723" w:rsidP="00F65723">
      <w:pPr>
        <w:autoSpaceDE w:val="0"/>
        <w:autoSpaceDN w:val="0"/>
        <w:adjustRightInd w:val="0"/>
        <w:spacing w:after="0"/>
        <w:rPr>
          <w:rFonts w:cstheme="minorHAnsi"/>
          <w:i/>
        </w:rPr>
      </w:pPr>
      <w:r w:rsidRPr="00F65723">
        <w:rPr>
          <w:rFonts w:cstheme="minorHAnsi"/>
          <w:b/>
        </w:rPr>
        <w:t xml:space="preserve">Bernard N’Kaoua : </w:t>
      </w:r>
      <w:r w:rsidRPr="00F65723">
        <w:rPr>
          <w:rFonts w:cstheme="minorHAnsi"/>
          <w:i/>
        </w:rPr>
        <w:t>Université Victor Segalen Bordeaux 2 / UFR Sciences et Modélisation / Laboratoire Handicap et Système Nerveux (EA 4136) et équipe Phoenix (inria)</w:t>
      </w:r>
    </w:p>
    <w:p w:rsidR="00F65723" w:rsidRPr="00F65723" w:rsidRDefault="00F65723" w:rsidP="00F65723">
      <w:pPr>
        <w:autoSpaceDE w:val="0"/>
        <w:autoSpaceDN w:val="0"/>
        <w:adjustRightInd w:val="0"/>
        <w:spacing w:after="0"/>
        <w:rPr>
          <w:rFonts w:cstheme="minorHAnsi"/>
          <w:i/>
          <w:color w:val="000000"/>
        </w:rPr>
      </w:pPr>
      <w:r w:rsidRPr="00F65723">
        <w:rPr>
          <w:rFonts w:cstheme="minorHAnsi"/>
          <w:b/>
        </w:rPr>
        <w:t xml:space="preserve">Hélène Sauzéon : </w:t>
      </w:r>
      <w:r w:rsidRPr="00F65723">
        <w:rPr>
          <w:rFonts w:cstheme="minorHAnsi"/>
          <w:i/>
        </w:rPr>
        <w:t>EA4136-Handicap &amp; Système Nerveux / institut de Neuro Sciences de Bordeaux (</w:t>
      </w:r>
      <w:hyperlink r:id="rId7" w:history="1">
        <w:r w:rsidRPr="00F65723">
          <w:rPr>
            <w:rFonts w:cstheme="minorHAnsi"/>
            <w:i/>
            <w:color w:val="0000FF" w:themeColor="hyperlink"/>
            <w:u w:val="single"/>
          </w:rPr>
          <w:t>http://www.inb.u-bordeaux2.fr/</w:t>
        </w:r>
      </w:hyperlink>
      <w:r w:rsidRPr="00F65723">
        <w:rPr>
          <w:rFonts w:cstheme="minorHAnsi"/>
          <w:i/>
        </w:rPr>
        <w:t xml:space="preserve"> )</w:t>
      </w:r>
      <w:r w:rsidRPr="00F65723">
        <w:rPr>
          <w:rFonts w:cstheme="minorHAnsi"/>
          <w:i/>
          <w:color w:val="000000"/>
        </w:rPr>
        <w:t xml:space="preserve"> / </w:t>
      </w:r>
      <w:r w:rsidRPr="00F65723">
        <w:rPr>
          <w:rFonts w:cstheme="minorHAnsi"/>
          <w:i/>
        </w:rPr>
        <w:t>Membre -Equipe Phoenix Inria Bordeaux (</w:t>
      </w:r>
      <w:hyperlink r:id="rId8" w:history="1">
        <w:r w:rsidRPr="00F65723">
          <w:rPr>
            <w:rFonts w:cstheme="minorHAnsi"/>
            <w:i/>
            <w:color w:val="0000FF" w:themeColor="hyperlink"/>
            <w:u w:val="single"/>
          </w:rPr>
          <w:t>http://www.inria.fr/equipes/phoenix</w:t>
        </w:r>
      </w:hyperlink>
      <w:r w:rsidRPr="00F65723">
        <w:rPr>
          <w:rFonts w:cstheme="minorHAnsi"/>
          <w:i/>
        </w:rPr>
        <w:t xml:space="preserve"> )</w:t>
      </w:r>
    </w:p>
    <w:p w:rsidR="00F65723" w:rsidRPr="00F65723" w:rsidRDefault="00F65723" w:rsidP="00F65723">
      <w:pPr>
        <w:spacing w:after="0"/>
        <w:rPr>
          <w:rFonts w:cstheme="minorHAnsi"/>
          <w:i/>
        </w:rPr>
      </w:pPr>
      <w:r w:rsidRPr="00F65723">
        <w:rPr>
          <w:rFonts w:cstheme="minorHAnsi"/>
          <w:b/>
        </w:rPr>
        <w:t>Charles Consel :</w:t>
      </w:r>
      <w:r w:rsidRPr="00F65723">
        <w:rPr>
          <w:rFonts w:cstheme="minorHAnsi"/>
          <w:i/>
        </w:rPr>
        <w:t xml:space="preserve">INRIA / Université de Bordeaux / Chef d’équipe projet Phoenix-inira Sud Ouest / </w:t>
      </w:r>
    </w:p>
    <w:p w:rsidR="00F65723" w:rsidRPr="00F65723" w:rsidRDefault="00F65723" w:rsidP="00F65723">
      <w:pPr>
        <w:autoSpaceDE w:val="0"/>
        <w:autoSpaceDN w:val="0"/>
        <w:adjustRightInd w:val="0"/>
        <w:spacing w:after="0"/>
        <w:rPr>
          <w:rFonts w:cstheme="minorHAnsi"/>
        </w:rPr>
      </w:pPr>
    </w:p>
    <w:p w:rsidR="00F65723" w:rsidRPr="00F65723" w:rsidRDefault="00F65723" w:rsidP="00F65723">
      <w:pPr>
        <w:numPr>
          <w:ilvl w:val="0"/>
          <w:numId w:val="3"/>
        </w:numPr>
        <w:autoSpaceDE w:val="0"/>
        <w:autoSpaceDN w:val="0"/>
        <w:adjustRightInd w:val="0"/>
        <w:spacing w:after="0" w:line="240" w:lineRule="auto"/>
        <w:contextualSpacing/>
        <w:rPr>
          <w:rFonts w:eastAsia="Calibri" w:cstheme="minorHAnsi"/>
          <w:color w:val="4B9941"/>
          <w:lang w:eastAsia="fr-FR"/>
        </w:rPr>
      </w:pPr>
      <w:r w:rsidRPr="00F65723">
        <w:rPr>
          <w:rFonts w:eastAsia="Calibri" w:cstheme="minorHAnsi"/>
          <w:b/>
          <w:color w:val="4B9941"/>
          <w:lang w:eastAsia="fr-FR"/>
        </w:rPr>
        <w:t>Le service d’Orthopédagogie de l’Université Mons</w:t>
      </w:r>
    </w:p>
    <w:p w:rsidR="00F65723" w:rsidRPr="00F65723" w:rsidRDefault="00F65723" w:rsidP="00F65723">
      <w:pPr>
        <w:autoSpaceDE w:val="0"/>
        <w:autoSpaceDN w:val="0"/>
        <w:adjustRightInd w:val="0"/>
        <w:spacing w:after="0"/>
        <w:rPr>
          <w:rFonts w:cstheme="minorHAnsi"/>
        </w:rPr>
      </w:pPr>
      <w:r w:rsidRPr="00F65723">
        <w:rPr>
          <w:rFonts w:cstheme="minorHAnsi"/>
        </w:rPr>
        <w:t xml:space="preserve"> Ce service vise une meilleure connaissance des besoins des personnes handicapées et/ou vieillissantes. Il participera à la recherche en amenant ses connaissances et sa pratique sur la notion d’autodétermination. </w:t>
      </w:r>
    </w:p>
    <w:p w:rsidR="00F65723" w:rsidRPr="00F65723" w:rsidRDefault="00F65723" w:rsidP="00F65723">
      <w:pPr>
        <w:numPr>
          <w:ilvl w:val="1"/>
          <w:numId w:val="2"/>
        </w:numPr>
        <w:autoSpaceDE w:val="0"/>
        <w:autoSpaceDN w:val="0"/>
        <w:adjustRightInd w:val="0"/>
        <w:spacing w:after="0" w:line="240" w:lineRule="auto"/>
        <w:rPr>
          <w:rFonts w:cstheme="minorHAnsi"/>
          <w:b/>
        </w:rPr>
      </w:pPr>
      <w:r w:rsidRPr="00F65723">
        <w:rPr>
          <w:rFonts w:cstheme="minorHAnsi"/>
          <w:b/>
        </w:rPr>
        <w:t>La chercheuse concernée </w:t>
      </w:r>
    </w:p>
    <w:p w:rsidR="00F65723" w:rsidRPr="00F65723" w:rsidRDefault="00F65723" w:rsidP="00F65723">
      <w:pPr>
        <w:spacing w:after="0"/>
        <w:rPr>
          <w:rFonts w:cstheme="minorHAnsi"/>
          <w:i/>
        </w:rPr>
      </w:pPr>
      <w:r w:rsidRPr="00F65723">
        <w:rPr>
          <w:rFonts w:cstheme="minorHAnsi"/>
          <w:b/>
        </w:rPr>
        <w:t>Marie-Claire Haelewyck :</w:t>
      </w:r>
      <w:r w:rsidRPr="00F65723">
        <w:rPr>
          <w:rFonts w:cstheme="minorHAnsi"/>
          <w:i/>
        </w:rPr>
        <w:t>Professeure et responsable du service d’orthopédagogie clinique de l’Université de Mons</w:t>
      </w:r>
    </w:p>
    <w:p w:rsidR="00F65723" w:rsidRDefault="00F65723" w:rsidP="00F65723">
      <w:pPr>
        <w:rPr>
          <w:rFonts w:cstheme="minorHAnsi"/>
          <w:b/>
          <w:color w:val="4B9941"/>
          <w:sz w:val="24"/>
          <w:szCs w:val="24"/>
        </w:rPr>
      </w:pPr>
    </w:p>
    <w:p w:rsidR="00F65723" w:rsidRPr="00F65723" w:rsidRDefault="00F65723" w:rsidP="00F65723">
      <w:pPr>
        <w:rPr>
          <w:rFonts w:cstheme="minorHAnsi"/>
          <w:b/>
          <w:color w:val="4B9941"/>
          <w:sz w:val="24"/>
          <w:szCs w:val="24"/>
        </w:rPr>
      </w:pPr>
    </w:p>
    <w:p w:rsidR="00F65723" w:rsidRPr="00F65723" w:rsidRDefault="00F65723" w:rsidP="00F65723">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rPr>
      </w:pPr>
      <w:r w:rsidRPr="00F65723">
        <w:rPr>
          <w:rFonts w:cstheme="minorHAnsi"/>
          <w:b/>
          <w:color w:val="4B9941"/>
          <w:sz w:val="24"/>
          <w:szCs w:val="24"/>
        </w:rPr>
        <w:t>LES RESULTATS ATTENDUS</w:t>
      </w:r>
    </w:p>
    <w:p w:rsidR="00F65723" w:rsidRPr="00F65723" w:rsidRDefault="00F65723" w:rsidP="00F65723">
      <w:pPr>
        <w:spacing w:after="0" w:line="240" w:lineRule="auto"/>
        <w:contextualSpacing/>
        <w:rPr>
          <w:rFonts w:eastAsia="Calibri" w:cstheme="minorHAnsi"/>
          <w:color w:val="000000"/>
          <w:sz w:val="24"/>
          <w:szCs w:val="24"/>
          <w:lang w:eastAsia="fr-FR"/>
        </w:rPr>
      </w:pPr>
    </w:p>
    <w:p w:rsidR="00F65723" w:rsidRPr="00F65723" w:rsidRDefault="00F65723" w:rsidP="00F65723">
      <w:pPr>
        <w:spacing w:after="0" w:line="240" w:lineRule="auto"/>
        <w:contextualSpacing/>
        <w:rPr>
          <w:rFonts w:eastAsia="Calibri" w:cstheme="minorHAnsi"/>
          <w:color w:val="000000"/>
          <w:lang w:eastAsia="fr-FR"/>
        </w:rPr>
      </w:pPr>
      <w:r w:rsidRPr="00F65723">
        <w:rPr>
          <w:rFonts w:eastAsia="Calibri" w:cstheme="minorHAnsi"/>
          <w:color w:val="000000"/>
          <w:lang w:eastAsia="fr-FR"/>
        </w:rPr>
        <w:t>L’objectif de ce travail est de finaliser et de valider un outil numérique d’aide à la formulation d’un projet de vie</w:t>
      </w:r>
      <w:r w:rsidRPr="00F65723">
        <w:rPr>
          <w:rFonts w:eastAsia="Calibri" w:cstheme="minorHAnsi"/>
          <w:color w:val="000000"/>
          <w:vertAlign w:val="superscript"/>
          <w:lang w:eastAsia="fr-FR"/>
        </w:rPr>
        <w:footnoteReference w:id="1"/>
      </w:r>
      <w:r w:rsidRPr="00F65723">
        <w:rPr>
          <w:rFonts w:eastAsia="Calibri" w:cstheme="minorHAnsi"/>
          <w:color w:val="000000"/>
          <w:lang w:eastAsia="fr-FR"/>
        </w:rPr>
        <w:t>, adapté aux spécificités de fonctionnement cognitif des personnes porteuses de trisomie 21.</w:t>
      </w:r>
    </w:p>
    <w:p w:rsidR="00F65723" w:rsidRPr="00F65723" w:rsidRDefault="00F65723" w:rsidP="00F65723">
      <w:pPr>
        <w:spacing w:after="0" w:line="240" w:lineRule="auto"/>
        <w:contextualSpacing/>
        <w:rPr>
          <w:rFonts w:eastAsia="Calibri" w:cstheme="minorHAnsi"/>
          <w:color w:val="000000"/>
          <w:lang w:eastAsia="fr-FR"/>
        </w:rPr>
      </w:pPr>
    </w:p>
    <w:p w:rsidR="00F65723" w:rsidRPr="00F65723" w:rsidRDefault="00F65723" w:rsidP="00F65723">
      <w:pPr>
        <w:spacing w:after="0" w:line="240" w:lineRule="auto"/>
        <w:contextualSpacing/>
        <w:rPr>
          <w:rFonts w:eastAsia="Calibri" w:cstheme="minorHAnsi"/>
          <w:color w:val="000000"/>
          <w:lang w:eastAsia="fr-FR"/>
        </w:rPr>
      </w:pPr>
    </w:p>
    <w:p w:rsidR="00F65723" w:rsidRPr="00F65723" w:rsidRDefault="00F65723" w:rsidP="00F65723">
      <w:pPr>
        <w:spacing w:after="0" w:line="240" w:lineRule="auto"/>
        <w:contextualSpacing/>
        <w:rPr>
          <w:rFonts w:eastAsia="Calibri" w:cstheme="minorHAnsi"/>
          <w:color w:val="000000"/>
          <w:lang w:eastAsia="fr-FR"/>
        </w:rPr>
      </w:pPr>
      <w:r w:rsidRPr="00F65723">
        <w:rPr>
          <w:rFonts w:eastAsia="Calibri" w:cstheme="minorHAnsi"/>
          <w:color w:val="000000"/>
          <w:lang w:eastAsia="fr-FR"/>
        </w:rPr>
        <w:t xml:space="preserve">Les activités  nécessaires à la réalisation de ce projet seront : </w:t>
      </w:r>
    </w:p>
    <w:p w:rsidR="00F65723" w:rsidRPr="00F65723" w:rsidRDefault="00F65723" w:rsidP="00F65723">
      <w:pPr>
        <w:numPr>
          <w:ilvl w:val="0"/>
          <w:numId w:val="3"/>
        </w:numPr>
        <w:spacing w:after="0" w:line="240" w:lineRule="auto"/>
        <w:contextualSpacing/>
        <w:rPr>
          <w:rFonts w:eastAsia="Calibri" w:cstheme="minorHAnsi"/>
          <w:color w:val="000000"/>
          <w:lang w:eastAsia="fr-FR"/>
        </w:rPr>
      </w:pPr>
      <w:r w:rsidRPr="00F65723">
        <w:rPr>
          <w:rFonts w:eastAsia="Calibri" w:cstheme="minorHAnsi"/>
          <w:color w:val="000000"/>
          <w:lang w:eastAsia="fr-FR"/>
        </w:rPr>
        <w:t>l’état des lieux de la recherche existante dans le domaine du projet</w:t>
      </w:r>
    </w:p>
    <w:p w:rsidR="00F65723" w:rsidRPr="00F65723" w:rsidRDefault="00F65723" w:rsidP="00F65723">
      <w:pPr>
        <w:numPr>
          <w:ilvl w:val="0"/>
          <w:numId w:val="3"/>
        </w:numPr>
        <w:spacing w:after="0" w:line="240" w:lineRule="auto"/>
        <w:contextualSpacing/>
        <w:rPr>
          <w:rFonts w:eastAsia="Calibri" w:cstheme="minorHAnsi"/>
          <w:color w:val="000000"/>
          <w:lang w:eastAsia="fr-FR"/>
        </w:rPr>
      </w:pPr>
      <w:r w:rsidRPr="00F65723">
        <w:rPr>
          <w:rFonts w:eastAsia="Calibri" w:cstheme="minorHAnsi"/>
          <w:color w:val="000000"/>
          <w:lang w:eastAsia="fr-FR"/>
        </w:rPr>
        <w:t xml:space="preserve">l’évaluation précise des difficultés cognitives de ces personnes pour formuler leur projet de vie ainsi que des répercussions de ces difficultés dans les sphères familiales, sociales et professionnelles </w:t>
      </w:r>
    </w:p>
    <w:p w:rsidR="00F65723" w:rsidRPr="00F65723" w:rsidRDefault="00F65723" w:rsidP="00F65723">
      <w:pPr>
        <w:rPr>
          <w:rFonts w:cstheme="minorHAnsi"/>
        </w:rPr>
      </w:pPr>
      <w:r w:rsidRPr="00F65723">
        <w:rPr>
          <w:rFonts w:cstheme="minorHAnsi"/>
          <w:color w:val="000000"/>
        </w:rPr>
        <w:t>la finalisation d’un outil d’aide à l’élaboration d’un projet de vie adapté aux spécificités de fonctionnement de ces personnes l’évaluation de la pertinence de cet outil et de ses répercussions sur la qualité de vie et en particulier l’accès à l’autonomie</w:t>
      </w:r>
    </w:p>
    <w:p w:rsidR="00F65723" w:rsidRPr="00F65723" w:rsidRDefault="00F65723" w:rsidP="00F65723">
      <w:pPr>
        <w:rPr>
          <w:rFonts w:cstheme="minorHAnsi"/>
        </w:rPr>
      </w:pPr>
    </w:p>
    <w:p w:rsidR="00F65723" w:rsidRPr="00F65723" w:rsidRDefault="00F65723" w:rsidP="00F65723">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rPr>
      </w:pPr>
      <w:r w:rsidRPr="00F65723">
        <w:rPr>
          <w:rFonts w:cstheme="minorHAnsi"/>
          <w:b/>
          <w:color w:val="4B9941"/>
          <w:sz w:val="24"/>
          <w:szCs w:val="24"/>
        </w:rPr>
        <w:t>LES SUPPORTS (LIVRABLES) ET LEUR DIFFUSION ET  MODE DE TRANSFERT DES CONNAISSANCES</w:t>
      </w:r>
    </w:p>
    <w:p w:rsidR="00F65723" w:rsidRPr="00F65723" w:rsidRDefault="00F65723" w:rsidP="00F65723">
      <w:pPr>
        <w:spacing w:after="0" w:line="240" w:lineRule="auto"/>
        <w:rPr>
          <w:rFonts w:eastAsia="Calibri" w:cstheme="minorHAnsi"/>
          <w:sz w:val="24"/>
          <w:szCs w:val="24"/>
          <w:lang w:eastAsia="fr-FR"/>
        </w:rPr>
      </w:pPr>
    </w:p>
    <w:p w:rsidR="00F65723" w:rsidRPr="00F65723" w:rsidRDefault="00F65723" w:rsidP="00F65723">
      <w:pPr>
        <w:spacing w:after="0" w:line="240" w:lineRule="auto"/>
        <w:rPr>
          <w:rFonts w:eastAsia="Calibri" w:cstheme="minorHAnsi"/>
          <w:lang w:eastAsia="fr-FR"/>
        </w:rPr>
      </w:pPr>
      <w:r w:rsidRPr="00F65723">
        <w:rPr>
          <w:rFonts w:eastAsia="Calibri" w:cstheme="minorHAnsi"/>
          <w:lang w:eastAsia="fr-FR"/>
        </w:rPr>
        <w:t>Le projet doit aboutir à la production :</w:t>
      </w:r>
    </w:p>
    <w:p w:rsidR="00F65723" w:rsidRPr="00F65723" w:rsidRDefault="00F65723" w:rsidP="00F65723">
      <w:pPr>
        <w:numPr>
          <w:ilvl w:val="0"/>
          <w:numId w:val="4"/>
        </w:numPr>
        <w:spacing w:after="0" w:line="240" w:lineRule="auto"/>
        <w:contextualSpacing/>
        <w:rPr>
          <w:rFonts w:eastAsia="Calibri" w:cstheme="minorHAnsi"/>
          <w:color w:val="000000"/>
          <w:lang w:eastAsia="fr-FR"/>
        </w:rPr>
      </w:pPr>
      <w:r w:rsidRPr="00F65723">
        <w:rPr>
          <w:rFonts w:eastAsia="Calibri" w:cstheme="minorHAnsi"/>
          <w:color w:val="000000"/>
          <w:lang w:eastAsia="fr-FR"/>
        </w:rPr>
        <w:t>la rédaction d’un rapport de recherche</w:t>
      </w:r>
    </w:p>
    <w:p w:rsidR="00F65723" w:rsidRPr="00F65723" w:rsidRDefault="00F65723" w:rsidP="00F65723">
      <w:pPr>
        <w:numPr>
          <w:ilvl w:val="0"/>
          <w:numId w:val="4"/>
        </w:numPr>
        <w:spacing w:after="0" w:line="240" w:lineRule="auto"/>
        <w:contextualSpacing/>
        <w:rPr>
          <w:rFonts w:eastAsia="Calibri" w:cstheme="minorHAnsi"/>
          <w:lang w:eastAsia="fr-FR"/>
        </w:rPr>
      </w:pPr>
      <w:r w:rsidRPr="00F65723">
        <w:rPr>
          <w:rFonts w:eastAsia="Calibri" w:cstheme="minorHAnsi"/>
          <w:lang w:eastAsia="fr-FR"/>
        </w:rPr>
        <w:t>d’un outil multimédia à destination des bénéficiaires mis en ligne sur le réseau Internet –l’Université de Mons veillera à son accessibilité</w:t>
      </w:r>
    </w:p>
    <w:p w:rsidR="00F65723" w:rsidRPr="00F65723" w:rsidRDefault="00F65723" w:rsidP="00F65723">
      <w:pPr>
        <w:numPr>
          <w:ilvl w:val="0"/>
          <w:numId w:val="4"/>
        </w:numPr>
        <w:spacing w:after="0" w:line="240" w:lineRule="auto"/>
        <w:contextualSpacing/>
        <w:rPr>
          <w:rFonts w:eastAsia="Calibri" w:cstheme="minorHAnsi"/>
          <w:lang w:eastAsia="fr-FR"/>
        </w:rPr>
      </w:pPr>
      <w:r w:rsidRPr="00F65723">
        <w:rPr>
          <w:rFonts w:eastAsia="Calibri" w:cstheme="minorHAnsi"/>
          <w:lang w:eastAsia="fr-FR"/>
        </w:rPr>
        <w:t>de compte-rendu scientifiques</w:t>
      </w:r>
    </w:p>
    <w:p w:rsidR="00F65723" w:rsidRPr="00F65723" w:rsidRDefault="00F65723" w:rsidP="00F65723">
      <w:pPr>
        <w:numPr>
          <w:ilvl w:val="0"/>
          <w:numId w:val="4"/>
        </w:numPr>
        <w:spacing w:after="0" w:line="240" w:lineRule="auto"/>
        <w:contextualSpacing/>
        <w:rPr>
          <w:rFonts w:eastAsia="Calibri" w:cstheme="minorHAnsi"/>
          <w:lang w:eastAsia="fr-FR"/>
        </w:rPr>
      </w:pPr>
      <w:r w:rsidRPr="00F65723">
        <w:rPr>
          <w:rFonts w:eastAsia="Calibri" w:cstheme="minorHAnsi"/>
          <w:lang w:eastAsia="fr-FR"/>
        </w:rPr>
        <w:t>d’articles d’information destinés aux acteurs de terrain incluant les , personnes porteuses de trisomie 21, parents, professionnels</w:t>
      </w:r>
    </w:p>
    <w:p w:rsidR="00F65723" w:rsidRPr="00F65723" w:rsidRDefault="00F65723" w:rsidP="00F65723">
      <w:pPr>
        <w:spacing w:after="0" w:line="240" w:lineRule="auto"/>
        <w:rPr>
          <w:rFonts w:eastAsia="Calibri" w:cstheme="minorHAnsi"/>
          <w:lang w:eastAsia="fr-FR"/>
        </w:rPr>
      </w:pPr>
    </w:p>
    <w:p w:rsidR="00F65723" w:rsidRPr="00F65723" w:rsidRDefault="00F65723" w:rsidP="00F65723">
      <w:pPr>
        <w:spacing w:after="0" w:line="240" w:lineRule="auto"/>
        <w:rPr>
          <w:rFonts w:eastAsia="Calibri" w:cstheme="minorHAnsi"/>
          <w:lang w:eastAsia="fr-FR"/>
        </w:rPr>
      </w:pPr>
      <w:r w:rsidRPr="00F65723">
        <w:rPr>
          <w:rFonts w:eastAsia="Calibri" w:cstheme="minorHAnsi"/>
          <w:lang w:eastAsia="fr-FR"/>
        </w:rPr>
        <w:t>Trois types de support seront aussi créer pour faciliter l’utilisation de l’outil numérique :</w:t>
      </w:r>
    </w:p>
    <w:p w:rsidR="00F65723" w:rsidRPr="00F65723" w:rsidRDefault="00F65723" w:rsidP="00F65723">
      <w:pPr>
        <w:numPr>
          <w:ilvl w:val="0"/>
          <w:numId w:val="5"/>
        </w:numPr>
        <w:spacing w:after="0" w:line="240" w:lineRule="auto"/>
        <w:contextualSpacing/>
        <w:rPr>
          <w:rFonts w:eastAsia="Calibri" w:cstheme="minorHAnsi"/>
          <w:lang w:eastAsia="fr-FR"/>
        </w:rPr>
      </w:pPr>
      <w:r w:rsidRPr="00F65723">
        <w:rPr>
          <w:rFonts w:eastAsia="Calibri" w:cstheme="minorHAnsi"/>
          <w:lang w:eastAsia="fr-FR"/>
        </w:rPr>
        <w:t xml:space="preserve">Une vidéo à destination des utilisateurs </w:t>
      </w:r>
    </w:p>
    <w:p w:rsidR="00F65723" w:rsidRPr="00F65723" w:rsidRDefault="00F65723" w:rsidP="00F65723">
      <w:pPr>
        <w:numPr>
          <w:ilvl w:val="0"/>
          <w:numId w:val="5"/>
        </w:numPr>
        <w:spacing w:after="0" w:line="240" w:lineRule="auto"/>
        <w:contextualSpacing/>
        <w:rPr>
          <w:rFonts w:eastAsia="Calibri" w:cstheme="minorHAnsi"/>
          <w:lang w:eastAsia="fr-FR"/>
        </w:rPr>
      </w:pPr>
      <w:r w:rsidRPr="00F65723">
        <w:rPr>
          <w:rFonts w:eastAsia="Calibri" w:cstheme="minorHAnsi"/>
          <w:lang w:eastAsia="fr-FR"/>
        </w:rPr>
        <w:t>un outil numérique mis en ligne</w:t>
      </w:r>
    </w:p>
    <w:p w:rsidR="00F65723" w:rsidRPr="00F65723" w:rsidRDefault="00F65723" w:rsidP="00F65723">
      <w:pPr>
        <w:numPr>
          <w:ilvl w:val="0"/>
          <w:numId w:val="5"/>
        </w:numPr>
        <w:spacing w:after="0" w:line="240" w:lineRule="auto"/>
        <w:contextualSpacing/>
        <w:rPr>
          <w:rFonts w:eastAsia="Calibri" w:cstheme="minorHAnsi"/>
          <w:lang w:eastAsia="fr-FR"/>
        </w:rPr>
      </w:pPr>
      <w:r w:rsidRPr="00F65723">
        <w:rPr>
          <w:rFonts w:eastAsia="Calibri" w:cstheme="minorHAnsi"/>
          <w:lang w:eastAsia="fr-FR"/>
        </w:rPr>
        <w:t>un support papier adapté et mis à jour.</w:t>
      </w:r>
    </w:p>
    <w:p w:rsidR="00F65723" w:rsidRPr="00F65723" w:rsidRDefault="00F65723" w:rsidP="00F65723">
      <w:pPr>
        <w:rPr>
          <w:rFonts w:cstheme="minorHAnsi"/>
        </w:rPr>
      </w:pPr>
    </w:p>
    <w:p w:rsidR="00F65723" w:rsidRPr="00F65723" w:rsidRDefault="00F65723" w:rsidP="00F65723">
      <w:pPr>
        <w:rPr>
          <w:rFonts w:cstheme="minorHAnsi"/>
        </w:rPr>
      </w:pPr>
      <w:r w:rsidRPr="00F65723">
        <w:rPr>
          <w:rFonts w:cstheme="minorHAnsi"/>
        </w:rPr>
        <w:t>La communication à destination du public s’effectuera principalement par le biais de 4 canaux :</w:t>
      </w:r>
    </w:p>
    <w:p w:rsidR="00F65723" w:rsidRPr="00F65723" w:rsidRDefault="00F65723" w:rsidP="00F65723">
      <w:pPr>
        <w:numPr>
          <w:ilvl w:val="0"/>
          <w:numId w:val="6"/>
        </w:numPr>
        <w:spacing w:after="0" w:line="240" w:lineRule="auto"/>
        <w:contextualSpacing/>
        <w:rPr>
          <w:rFonts w:eastAsia="Calibri" w:cstheme="minorHAnsi"/>
          <w:lang w:eastAsia="fr-FR"/>
        </w:rPr>
      </w:pPr>
      <w:r w:rsidRPr="00F65723">
        <w:rPr>
          <w:rFonts w:eastAsia="Calibri" w:cstheme="minorHAnsi"/>
          <w:lang w:eastAsia="fr-FR"/>
        </w:rPr>
        <w:t>Associatif : Trisomie 21 France, mais aussi conférences des gestionnaires, FEGAPEI, comité d’Entente des associations représentatives des personnes handicapées et de leurs familles pour les PH leurs familles et les professionnels</w:t>
      </w:r>
    </w:p>
    <w:p w:rsidR="00F65723" w:rsidRPr="00F65723" w:rsidRDefault="00F65723" w:rsidP="00F65723">
      <w:pPr>
        <w:numPr>
          <w:ilvl w:val="0"/>
          <w:numId w:val="6"/>
        </w:numPr>
        <w:spacing w:after="0" w:line="240" w:lineRule="auto"/>
        <w:contextualSpacing/>
        <w:rPr>
          <w:rFonts w:eastAsia="Calibri" w:cstheme="minorHAnsi"/>
          <w:lang w:eastAsia="fr-FR"/>
        </w:rPr>
      </w:pPr>
      <w:r w:rsidRPr="00F65723">
        <w:rPr>
          <w:rFonts w:eastAsia="Calibri" w:cstheme="minorHAnsi"/>
          <w:lang w:eastAsia="fr-FR"/>
        </w:rPr>
        <w:t>Médiatique spécialisé sur le handicap : magazines Etre, Déclic, lettres d’information à l’attention des personnes handicapées leurs familles professionnels et grand public</w:t>
      </w:r>
    </w:p>
    <w:p w:rsidR="00F65723" w:rsidRPr="00F65723" w:rsidRDefault="00F65723" w:rsidP="00F65723">
      <w:pPr>
        <w:numPr>
          <w:ilvl w:val="0"/>
          <w:numId w:val="6"/>
        </w:numPr>
        <w:spacing w:after="0" w:line="240" w:lineRule="auto"/>
        <w:rPr>
          <w:rFonts w:cstheme="minorHAnsi"/>
        </w:rPr>
      </w:pPr>
      <w:r w:rsidRPr="00F65723">
        <w:rPr>
          <w:rFonts w:cstheme="minorHAnsi"/>
        </w:rPr>
        <w:t xml:space="preserve">Institutionnel : La Caisse Nationale de Solidarité (CNSA) sera sollicitée pour informer le réseau des Maisons Départementales des Personnes Handicapées (MDPH) qui sont les organismes publics directement impliquées dans les mesures de compension destinées à la mise en œuvre des projets de vie des personnes. </w:t>
      </w:r>
    </w:p>
    <w:p w:rsidR="00F65723" w:rsidRPr="00F65723" w:rsidRDefault="00F65723" w:rsidP="00F65723">
      <w:pPr>
        <w:numPr>
          <w:ilvl w:val="0"/>
          <w:numId w:val="6"/>
        </w:numPr>
        <w:spacing w:after="0" w:line="240" w:lineRule="auto"/>
        <w:contextualSpacing/>
        <w:rPr>
          <w:rFonts w:eastAsia="Calibri" w:cstheme="minorHAnsi"/>
          <w:lang w:eastAsia="fr-FR"/>
        </w:rPr>
      </w:pPr>
      <w:r w:rsidRPr="00F65723">
        <w:rPr>
          <w:rFonts w:eastAsia="Calibri" w:cstheme="minorHAnsi"/>
          <w:lang w:eastAsia="fr-FR"/>
        </w:rPr>
        <w:t>Universitaire : publications universitaires à l’attention d’un public scientifique</w:t>
      </w:r>
    </w:p>
    <w:p w:rsidR="00F65723" w:rsidRPr="00F65723" w:rsidRDefault="00F65723" w:rsidP="00F65723">
      <w:pPr>
        <w:rPr>
          <w:rFonts w:cstheme="minorHAnsi"/>
        </w:rPr>
      </w:pPr>
    </w:p>
    <w:p w:rsidR="005A4013" w:rsidRPr="00F65723" w:rsidRDefault="00F65723" w:rsidP="00F65723">
      <w:pPr>
        <w:jc w:val="center"/>
        <w:rPr>
          <w:rFonts w:cstheme="minorHAnsi"/>
        </w:rPr>
      </w:pPr>
      <w:r w:rsidRPr="00F65723">
        <w:rPr>
          <w:rFonts w:cstheme="minorHAnsi"/>
          <w:u w:val="single"/>
        </w:rPr>
        <w:t>Ce document a été réalisé par la FIRAH sur la base des documents du porteur de projet.</w:t>
      </w:r>
    </w:p>
    <w:sectPr w:rsidR="005A4013" w:rsidRPr="00F65723" w:rsidSect="00E05CA3">
      <w:headerReference w:type="default" r:id="rId9"/>
      <w:footerReference w:type="default" r:id="rId10"/>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57" w:rsidRDefault="006E1557" w:rsidP="008D0099">
      <w:pPr>
        <w:spacing w:after="0" w:line="240" w:lineRule="auto"/>
      </w:pPr>
      <w:r>
        <w:separator/>
      </w:r>
    </w:p>
  </w:endnote>
  <w:endnote w:type="continuationSeparator" w:id="0">
    <w:p w:rsidR="006E1557" w:rsidRDefault="006E1557"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15858"/>
      <w:docPartObj>
        <w:docPartGallery w:val="Page Numbers (Bottom of Page)"/>
        <w:docPartUnique/>
      </w:docPartObj>
    </w:sdtPr>
    <w:sdtEndPr/>
    <w:sdtContent>
      <w:p w:rsidR="00F65723" w:rsidRDefault="00F65723">
        <w:pPr>
          <w:pStyle w:val="Pieddepage"/>
          <w:jc w:val="right"/>
        </w:pPr>
        <w:r>
          <w:fldChar w:fldCharType="begin"/>
        </w:r>
        <w:r>
          <w:instrText>PAGE   \* MERGEFORMAT</w:instrText>
        </w:r>
        <w:r>
          <w:fldChar w:fldCharType="separate"/>
        </w:r>
        <w:r w:rsidR="00E32058">
          <w:rPr>
            <w:noProof/>
          </w:rPr>
          <w:t>1</w:t>
        </w:r>
        <w:r>
          <w:fldChar w:fldCharType="end"/>
        </w:r>
      </w:p>
    </w:sdtContent>
  </w:sdt>
  <w:p w:rsidR="00DF3B80" w:rsidRPr="00F65723" w:rsidRDefault="00F65723" w:rsidP="00DF3B80">
    <w:pPr>
      <w:pStyle w:val="Pieddepage"/>
      <w:jc w:val="center"/>
      <w:rPr>
        <w:rFonts w:cstheme="minorHAnsi"/>
        <w:b/>
        <w:color w:val="595959" w:themeColor="text1" w:themeTint="A6"/>
      </w:rPr>
    </w:pPr>
    <w:r w:rsidRPr="00F65723">
      <w:rPr>
        <w:rFonts w:cstheme="minorHAnsi"/>
        <w:b/>
        <w:color w:val="595959" w:themeColor="text1" w:themeTint="A6"/>
      </w:rPr>
      <w:t>AP2012_36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57" w:rsidRDefault="006E1557" w:rsidP="008D0099">
      <w:pPr>
        <w:spacing w:after="0" w:line="240" w:lineRule="auto"/>
      </w:pPr>
      <w:r>
        <w:separator/>
      </w:r>
    </w:p>
  </w:footnote>
  <w:footnote w:type="continuationSeparator" w:id="0">
    <w:p w:rsidR="006E1557" w:rsidRDefault="006E1557" w:rsidP="008D0099">
      <w:pPr>
        <w:spacing w:after="0" w:line="240" w:lineRule="auto"/>
      </w:pPr>
      <w:r>
        <w:continuationSeparator/>
      </w:r>
    </w:p>
  </w:footnote>
  <w:footnote w:id="1">
    <w:p w:rsidR="00F65723" w:rsidRPr="00F65723" w:rsidRDefault="00F65723" w:rsidP="00F65723">
      <w:pPr>
        <w:pStyle w:val="Notedebasdepage"/>
        <w:rPr>
          <w:rFonts w:asciiTheme="minorHAnsi" w:hAnsiTheme="minorHAnsi" w:cstheme="minorHAnsi"/>
          <w:sz w:val="22"/>
          <w:szCs w:val="22"/>
        </w:rPr>
      </w:pPr>
      <w:r w:rsidRPr="00F65723">
        <w:rPr>
          <w:rStyle w:val="Appelnotedebasdep"/>
          <w:rFonts w:asciiTheme="minorHAnsi" w:hAnsiTheme="minorHAnsi" w:cstheme="minorHAnsi"/>
          <w:sz w:val="22"/>
          <w:szCs w:val="22"/>
        </w:rPr>
        <w:footnoteRef/>
      </w:r>
      <w:r w:rsidRPr="00F65723">
        <w:rPr>
          <w:rFonts w:asciiTheme="minorHAnsi" w:hAnsiTheme="minorHAnsi" w:cstheme="minorHAnsi"/>
          <w:sz w:val="22"/>
          <w:szCs w:val="22"/>
        </w:rPr>
        <w:t xml:space="preserve"> </w:t>
      </w:r>
      <w:r w:rsidRPr="00F65723">
        <w:rPr>
          <w:rFonts w:asciiTheme="minorHAnsi" w:hAnsiTheme="minorHAnsi" w:cstheme="minorHAnsi"/>
          <w:color w:val="000000"/>
          <w:sz w:val="22"/>
          <w:szCs w:val="22"/>
        </w:rPr>
        <w:t>Le projet de vie est l’expression de la représentation dans le futur de la personne mais aussi celle de ses souhaits et de ses choix. Il a pour  objet de permettre à la personne de définir des objectifs qu’il souhaiterait atteindre et de faciliter ainsi l’accès à l’autonomie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14:anchorId="0BDA40CF" wp14:editId="4EF4F6CD">
          <wp:simplePos x="0" y="0"/>
          <wp:positionH relativeFrom="margin">
            <wp:posOffset>2359025</wp:posOffset>
          </wp:positionH>
          <wp:positionV relativeFrom="margin">
            <wp:posOffset>-984885</wp:posOffset>
          </wp:positionV>
          <wp:extent cx="1920875" cy="618490"/>
          <wp:effectExtent l="0" t="0" r="3175" b="0"/>
          <wp:wrapThrough wrapText="bothSides">
            <wp:wrapPolygon edited="0">
              <wp:start x="0" y="0"/>
              <wp:lineTo x="0" y="20624"/>
              <wp:lineTo x="21421" y="20624"/>
              <wp:lineTo x="2142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618490"/>
                  </a:xfrm>
                  <a:prstGeom prst="rect">
                    <a:avLst/>
                  </a:prstGeom>
                </pic:spPr>
              </pic:pic>
            </a:graphicData>
          </a:graphic>
          <wp14:sizeRelH relativeFrom="margin">
            <wp14:pctWidth>0</wp14:pctWidth>
          </wp14:sizeRelH>
          <wp14:sizeRelV relativeFrom="margin">
            <wp14:pctHeight>0</wp14:pctHeight>
          </wp14:sizeRelV>
        </wp:anchor>
      </w:drawing>
    </w:r>
    <w:r w:rsidR="003E4272"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61312" behindDoc="0" locked="0" layoutInCell="1" allowOverlap="1" wp14:anchorId="26ACF9C1" wp14:editId="54F62E70">
              <wp:simplePos x="0" y="0"/>
              <wp:positionH relativeFrom="column">
                <wp:posOffset>-467309</wp:posOffset>
              </wp:positionH>
              <wp:positionV relativeFrom="paragraph">
                <wp:posOffset>-458024</wp:posOffset>
              </wp:positionV>
              <wp:extent cx="123568" cy="10824399"/>
              <wp:effectExtent l="0" t="0" r="10160" b="15240"/>
              <wp:wrapNone/>
              <wp:docPr id="3" name="Rectangle 3"/>
              <wp:cNvGraphicFramePr/>
              <a:graphic xmlns:a="http://schemas.openxmlformats.org/drawingml/2006/main">
                <a:graphicData uri="http://schemas.microsoft.com/office/word/2010/wordprocessingShape">
                  <wps:wsp>
                    <wps:cNvSpPr/>
                    <wps:spPr>
                      <a:xfrm>
                        <a:off x="0" y="0"/>
                        <a:ext cx="123568" cy="10824399"/>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pt;margin-top:-36.05pt;width:9.75pt;height:8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mc:Fallback>
      </mc:AlternateConten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E1E27"/>
    <w:multiLevelType w:val="hybridMultilevel"/>
    <w:tmpl w:val="A356BF54"/>
    <w:lvl w:ilvl="0" w:tplc="7CC63BE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B0305A"/>
    <w:multiLevelType w:val="hybridMultilevel"/>
    <w:tmpl w:val="4830D89E"/>
    <w:lvl w:ilvl="0" w:tplc="7CC63BE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BA69F5"/>
    <w:multiLevelType w:val="hybridMultilevel"/>
    <w:tmpl w:val="4A96AA88"/>
    <w:lvl w:ilvl="0" w:tplc="7CC63BE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2F549B"/>
    <w:multiLevelType w:val="hybridMultilevel"/>
    <w:tmpl w:val="FDECEAA8"/>
    <w:lvl w:ilvl="0" w:tplc="7CC63BE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194378"/>
    <w:multiLevelType w:val="hybridMultilevel"/>
    <w:tmpl w:val="A8E87E72"/>
    <w:lvl w:ilvl="0" w:tplc="773A8D8C">
      <w:start w:val="1"/>
      <w:numFmt w:val="bullet"/>
      <w:lvlText w:val="-"/>
      <w:lvlJc w:val="left"/>
      <w:pPr>
        <w:ind w:left="720" w:hanging="360"/>
      </w:pPr>
      <w:rPr>
        <w:rFonts w:ascii="Arial" w:eastAsia="Calibri"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A10045"/>
    <w:multiLevelType w:val="hybridMultilevel"/>
    <w:tmpl w:val="7010B596"/>
    <w:lvl w:ilvl="0" w:tplc="7CC63BE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11639E"/>
    <w:rsid w:val="001B0D5A"/>
    <w:rsid w:val="0021402E"/>
    <w:rsid w:val="00274853"/>
    <w:rsid w:val="00284655"/>
    <w:rsid w:val="00290A9F"/>
    <w:rsid w:val="00297DA4"/>
    <w:rsid w:val="002A34E7"/>
    <w:rsid w:val="002B10EB"/>
    <w:rsid w:val="002C128A"/>
    <w:rsid w:val="00363EE4"/>
    <w:rsid w:val="00384892"/>
    <w:rsid w:val="003935F7"/>
    <w:rsid w:val="003A5F84"/>
    <w:rsid w:val="003E4272"/>
    <w:rsid w:val="003F174D"/>
    <w:rsid w:val="00446CFA"/>
    <w:rsid w:val="004957B8"/>
    <w:rsid w:val="00543287"/>
    <w:rsid w:val="0054563C"/>
    <w:rsid w:val="00560774"/>
    <w:rsid w:val="00562466"/>
    <w:rsid w:val="005808BC"/>
    <w:rsid w:val="00582CF5"/>
    <w:rsid w:val="005969BB"/>
    <w:rsid w:val="005A4013"/>
    <w:rsid w:val="005A4655"/>
    <w:rsid w:val="005C3E4E"/>
    <w:rsid w:val="005D5A30"/>
    <w:rsid w:val="005F78AA"/>
    <w:rsid w:val="006024CB"/>
    <w:rsid w:val="00647B69"/>
    <w:rsid w:val="006A20A2"/>
    <w:rsid w:val="006B74C7"/>
    <w:rsid w:val="006B7997"/>
    <w:rsid w:val="006E1557"/>
    <w:rsid w:val="006F4BAB"/>
    <w:rsid w:val="00727BC6"/>
    <w:rsid w:val="0074030F"/>
    <w:rsid w:val="00745A39"/>
    <w:rsid w:val="00785538"/>
    <w:rsid w:val="008642D4"/>
    <w:rsid w:val="008C1BA7"/>
    <w:rsid w:val="008D0099"/>
    <w:rsid w:val="008D2F26"/>
    <w:rsid w:val="008F6DA6"/>
    <w:rsid w:val="00943786"/>
    <w:rsid w:val="009817CA"/>
    <w:rsid w:val="009D6F33"/>
    <w:rsid w:val="009D71A4"/>
    <w:rsid w:val="009F1291"/>
    <w:rsid w:val="009F248D"/>
    <w:rsid w:val="009F6A95"/>
    <w:rsid w:val="00A50063"/>
    <w:rsid w:val="00AA438C"/>
    <w:rsid w:val="00AC303D"/>
    <w:rsid w:val="00AF728E"/>
    <w:rsid w:val="00B27956"/>
    <w:rsid w:val="00B80B57"/>
    <w:rsid w:val="00B80B6F"/>
    <w:rsid w:val="00BA7FF8"/>
    <w:rsid w:val="00BC0A14"/>
    <w:rsid w:val="00BD6C16"/>
    <w:rsid w:val="00C119B0"/>
    <w:rsid w:val="00C844BD"/>
    <w:rsid w:val="00D237F4"/>
    <w:rsid w:val="00D41B58"/>
    <w:rsid w:val="00D572DF"/>
    <w:rsid w:val="00DF3B80"/>
    <w:rsid w:val="00E05CA3"/>
    <w:rsid w:val="00E13116"/>
    <w:rsid w:val="00E32058"/>
    <w:rsid w:val="00E34B2D"/>
    <w:rsid w:val="00E54F78"/>
    <w:rsid w:val="00E71D69"/>
    <w:rsid w:val="00E80398"/>
    <w:rsid w:val="00EB6873"/>
    <w:rsid w:val="00ED2421"/>
    <w:rsid w:val="00F15672"/>
    <w:rsid w:val="00F41F4C"/>
    <w:rsid w:val="00F65723"/>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63A7D0-09E2-493F-8980-F1FCE813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character" w:styleId="Appelnotedebasdep">
    <w:name w:val="footnote reference"/>
    <w:rsid w:val="00F65723"/>
    <w:rPr>
      <w:vertAlign w:val="superscript"/>
    </w:rPr>
  </w:style>
  <w:style w:type="paragraph" w:styleId="Notedebasdepage">
    <w:name w:val="footnote text"/>
    <w:basedOn w:val="Normal"/>
    <w:link w:val="NotedebasdepageCar"/>
    <w:rsid w:val="00F65723"/>
    <w:pPr>
      <w:spacing w:after="0" w:line="240" w:lineRule="auto"/>
    </w:pPr>
    <w:rPr>
      <w:rFonts w:ascii="Calibri" w:eastAsia="Calibri" w:hAnsi="Calibri" w:cs="Times New Roman"/>
      <w:sz w:val="20"/>
      <w:szCs w:val="20"/>
      <w:lang w:val="x-none" w:eastAsia="x-none"/>
    </w:rPr>
  </w:style>
  <w:style w:type="character" w:customStyle="1" w:styleId="NotedebasdepageCar">
    <w:name w:val="Note de bas de page Car"/>
    <w:basedOn w:val="Policepardfaut"/>
    <w:link w:val="Notedebasdepage"/>
    <w:rsid w:val="00F6572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ia.fr/equipes/phoenix" TargetMode="External"/><Relationship Id="rId3" Type="http://schemas.openxmlformats.org/officeDocument/2006/relationships/settings" Target="settings.xml"/><Relationship Id="rId7" Type="http://schemas.openxmlformats.org/officeDocument/2006/relationships/hyperlink" Target="http://www.inb.u-bordeaux2.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4670</Characters>
  <Application>Microsoft Office Word</Application>
  <DocSecurity>4</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Cécile Vallée</cp:lastModifiedBy>
  <cp:revision>2</cp:revision>
  <cp:lastPrinted>2013-08-27T14:34:00Z</cp:lastPrinted>
  <dcterms:created xsi:type="dcterms:W3CDTF">2015-06-17T13:24:00Z</dcterms:created>
  <dcterms:modified xsi:type="dcterms:W3CDTF">2015-06-17T13:24:00Z</dcterms:modified>
</cp:coreProperties>
</file>